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A5A96" w14:textId="77777777" w:rsidR="00376ECB" w:rsidRDefault="00000000">
      <w:pPr>
        <w:pStyle w:val="Title"/>
        <w:spacing w:after="120" w:line="271" w:lineRule="auto"/>
        <w:jc w:val="center"/>
      </w:pPr>
      <w:r>
        <w:t>Cenith Carbon Reduction Plan</w:t>
      </w:r>
    </w:p>
    <w:p w14:paraId="591218FD" w14:textId="77777777" w:rsidR="00376ECB" w:rsidRDefault="00000000">
      <w:pPr>
        <w:spacing w:after="120" w:line="271" w:lineRule="auto"/>
        <w:jc w:val="both"/>
      </w:pPr>
      <w:r>
        <w:t>Supplier name: Cenith Management Consulting LLP | Company No. OC455286 | D-U-N-S: 233474219</w:t>
      </w:r>
    </w:p>
    <w:p w14:paraId="26557C5A" w14:textId="77777777" w:rsidR="00376ECB" w:rsidRDefault="00000000">
      <w:pPr>
        <w:spacing w:after="120" w:line="271" w:lineRule="auto"/>
        <w:jc w:val="both"/>
      </w:pPr>
      <w:r>
        <w:t>Publication date: Not yet published - draft for partner approval, 9 October 2026</w:t>
      </w:r>
    </w:p>
    <w:p w14:paraId="38904563" w14:textId="77777777" w:rsidR="00376ECB" w:rsidRDefault="00000000">
      <w:pPr>
        <w:pStyle w:val="Heading1"/>
        <w:spacing w:before="360" w:line="271" w:lineRule="auto"/>
        <w:jc w:val="both"/>
        <w:rPr>
          <w:b/>
          <w:sz w:val="28"/>
          <w:szCs w:val="28"/>
        </w:rPr>
      </w:pPr>
      <w:bookmarkStart w:id="0" w:name="_heading=h.30j0zll"/>
      <w:bookmarkEnd w:id="0"/>
      <w:r>
        <w:rPr>
          <w:b/>
          <w:sz w:val="28"/>
          <w:szCs w:val="28"/>
        </w:rPr>
        <w:t>Commitment to achieving Net Zero</w:t>
      </w:r>
    </w:p>
    <w:p w14:paraId="11C2C5C1" w14:textId="77777777" w:rsidR="00376ECB" w:rsidRDefault="00000000">
      <w:pPr>
        <w:spacing w:after="300" w:line="247" w:lineRule="auto"/>
      </w:pPr>
      <w:r>
        <w:t>Cenith Management Consulting LLP proposes to commit to achieving Net Zero greenhouse gas emissions from its UK operations by 2050 at the latest, subject to partner approval of this plan.</w:t>
      </w:r>
    </w:p>
    <w:p w14:paraId="782927F8" w14:textId="77777777" w:rsidR="00376ECB" w:rsidRDefault="00000000">
      <w:pPr>
        <w:pStyle w:val="Heading1"/>
        <w:spacing w:before="360" w:line="271" w:lineRule="auto"/>
        <w:jc w:val="both"/>
        <w:rPr>
          <w:b/>
          <w:sz w:val="28"/>
          <w:szCs w:val="28"/>
        </w:rPr>
      </w:pPr>
      <w:bookmarkStart w:id="1" w:name="_heading=h.3znysh7"/>
      <w:bookmarkEnd w:id="1"/>
      <w:r>
        <w:rPr>
          <w:b/>
          <w:sz w:val="28"/>
          <w:szCs w:val="28"/>
        </w:rPr>
        <w:t>Baseline Emissions Footprint</w:t>
      </w:r>
    </w:p>
    <w:p w14:paraId="5DEF5166" w14:textId="77777777" w:rsidR="00376ECB" w:rsidRDefault="00000000">
      <w:r>
        <w:t>Baseline emissions are a record of the greenhouse gases that have been produced in the past and were produced prior to the introduction of any strategies to reduce emissions. Baseline emissions are the reference point against which emissions reduction can be measured.</w:t>
      </w:r>
    </w:p>
    <w:tbl>
      <w:tblPr>
        <w:tblW w:w="9450" w:type="dxa"/>
        <w:tblInd w:w="-10" w:type="dxa"/>
        <w:tblLayout w:type="fixed"/>
        <w:tblCellMar>
          <w:top w:w="100" w:type="dxa"/>
          <w:left w:w="100" w:type="dxa"/>
          <w:bottom w:w="100" w:type="dxa"/>
          <w:right w:w="100" w:type="dxa"/>
        </w:tblCellMar>
        <w:tblLook w:val="0000" w:firstRow="0" w:lastRow="0" w:firstColumn="0" w:lastColumn="0" w:noHBand="0" w:noVBand="0"/>
      </w:tblPr>
      <w:tblGrid>
        <w:gridCol w:w="2130"/>
        <w:gridCol w:w="7320"/>
      </w:tblGrid>
      <w:tr w:rsidR="00376ECB" w14:paraId="0220FF1B" w14:textId="77777777">
        <w:trPr>
          <w:trHeight w:val="455"/>
        </w:trPr>
        <w:tc>
          <w:tcPr>
            <w:tcW w:w="9450" w:type="dxa"/>
            <w:gridSpan w:val="2"/>
            <w:tcBorders>
              <w:top w:val="single" w:sz="8" w:space="0" w:color="000000"/>
              <w:left w:val="single" w:sz="8" w:space="0" w:color="000000"/>
              <w:bottom w:val="single" w:sz="8" w:space="0" w:color="000000"/>
              <w:right w:val="single" w:sz="8" w:space="0" w:color="000000"/>
            </w:tcBorders>
          </w:tcPr>
          <w:p w14:paraId="41129D15" w14:textId="77777777" w:rsidR="00376ECB" w:rsidRDefault="00000000">
            <w:pPr>
              <w:spacing w:after="120" w:line="271" w:lineRule="auto"/>
              <w:jc w:val="both"/>
            </w:pPr>
            <w:r>
              <w:t>Baseline year: 2025/26 first full operating year (exact dates to confirm)</w:t>
            </w:r>
          </w:p>
        </w:tc>
      </w:tr>
      <w:tr w:rsidR="00376ECB" w14:paraId="362B16C3" w14:textId="77777777">
        <w:trPr>
          <w:trHeight w:val="455"/>
        </w:trPr>
        <w:tc>
          <w:tcPr>
            <w:tcW w:w="9450" w:type="dxa"/>
            <w:gridSpan w:val="2"/>
            <w:tcBorders>
              <w:left w:val="single" w:sz="8" w:space="0" w:color="000000"/>
              <w:bottom w:val="single" w:sz="8" w:space="0" w:color="000000"/>
              <w:right w:val="single" w:sz="8" w:space="0" w:color="000000"/>
            </w:tcBorders>
          </w:tcPr>
          <w:p w14:paraId="46E7656E" w14:textId="77777777" w:rsidR="00376ECB" w:rsidRDefault="00000000">
            <w:pPr>
              <w:spacing w:after="120" w:line="271" w:lineRule="auto"/>
              <w:jc w:val="both"/>
              <w:rPr>
                <w:b/>
              </w:rPr>
            </w:pPr>
            <w:r>
              <w:rPr>
                <w:b/>
              </w:rPr>
              <w:t xml:space="preserve">Additional Details relating to the Baseline Emissions calculations. </w:t>
            </w:r>
          </w:p>
        </w:tc>
      </w:tr>
      <w:tr w:rsidR="00376ECB" w14:paraId="799DCFD6" w14:textId="77777777">
        <w:trPr>
          <w:trHeight w:val="455"/>
        </w:trPr>
        <w:tc>
          <w:tcPr>
            <w:tcW w:w="9450" w:type="dxa"/>
            <w:gridSpan w:val="2"/>
            <w:tcBorders>
              <w:left w:val="single" w:sz="8" w:space="0" w:color="000000"/>
              <w:bottom w:val="single" w:sz="8" w:space="0" w:color="000000"/>
              <w:right w:val="single" w:sz="8" w:space="0" w:color="000000"/>
            </w:tcBorders>
          </w:tcPr>
          <w:p w14:paraId="2E15139A" w14:textId="3D495C83" w:rsidR="00376ECB" w:rsidRDefault="00000000">
            <w:pPr>
              <w:spacing w:after="120" w:line="271" w:lineRule="auto"/>
              <w:jc w:val="both"/>
            </w:pPr>
            <w:r>
              <w:t xml:space="preserve">Cenith began trading in 2025. Use its first complete 12-month UK operating period in 2025/26 as the baseline; exact dates and the operational boundary must be confirmed. This draft uses a planning range of </w:t>
            </w:r>
            <w:r w:rsidR="00225110">
              <w:t>30</w:t>
            </w:r>
            <w:r>
              <w:t xml:space="preserve"> team members and assumes professional services delivered remotely or at client/office locations as required; confirm actual average headcount and attendance patterns. No verified activity data was supplied, so emissions are pending and are not estimated. The inventory must cover Scope 1 and 2 plus the five Scope 3 categories: business travel; employee commuting; operational waste; upstream transport and distribution; and downstream transport and distribution.</w:t>
            </w:r>
          </w:p>
        </w:tc>
      </w:tr>
      <w:tr w:rsidR="00376ECB" w14:paraId="19A8B6E9" w14:textId="77777777">
        <w:trPr>
          <w:trHeight w:val="455"/>
        </w:trPr>
        <w:tc>
          <w:tcPr>
            <w:tcW w:w="9450" w:type="dxa"/>
            <w:gridSpan w:val="2"/>
            <w:tcBorders>
              <w:left w:val="single" w:sz="8" w:space="0" w:color="000000"/>
              <w:bottom w:val="single" w:sz="8" w:space="0" w:color="000000"/>
              <w:right w:val="single" w:sz="8" w:space="0" w:color="000000"/>
            </w:tcBorders>
          </w:tcPr>
          <w:p w14:paraId="363B3D3A" w14:textId="77777777" w:rsidR="00376ECB" w:rsidRDefault="00000000">
            <w:pPr>
              <w:spacing w:after="120" w:line="271" w:lineRule="auto"/>
              <w:jc w:val="both"/>
              <w:rPr>
                <w:b/>
              </w:rPr>
            </w:pPr>
            <w:r>
              <w:rPr>
                <w:b/>
              </w:rPr>
              <w:t>Baseline year emissions:</w:t>
            </w:r>
          </w:p>
        </w:tc>
      </w:tr>
      <w:tr w:rsidR="00376ECB" w14:paraId="5BFE4F56" w14:textId="77777777">
        <w:trPr>
          <w:trHeight w:val="740"/>
        </w:trPr>
        <w:tc>
          <w:tcPr>
            <w:tcW w:w="2130" w:type="dxa"/>
            <w:tcBorders>
              <w:left w:val="single" w:sz="8" w:space="0" w:color="000000"/>
              <w:bottom w:val="single" w:sz="8" w:space="0" w:color="000000"/>
              <w:right w:val="single" w:sz="8" w:space="0" w:color="000000"/>
            </w:tcBorders>
          </w:tcPr>
          <w:p w14:paraId="787DBE24" w14:textId="77777777" w:rsidR="00376ECB" w:rsidRDefault="00000000">
            <w:pPr>
              <w:spacing w:after="120" w:line="271" w:lineRule="auto"/>
              <w:jc w:val="both"/>
              <w:rPr>
                <w:b/>
              </w:rPr>
            </w:pPr>
            <w:r>
              <w:rPr>
                <w:b/>
              </w:rPr>
              <w:t>EMISSIONS</w:t>
            </w:r>
          </w:p>
        </w:tc>
        <w:tc>
          <w:tcPr>
            <w:tcW w:w="7320" w:type="dxa"/>
            <w:tcBorders>
              <w:bottom w:val="single" w:sz="8" w:space="0" w:color="000000"/>
              <w:right w:val="single" w:sz="20" w:space="0" w:color="000000"/>
            </w:tcBorders>
          </w:tcPr>
          <w:p w14:paraId="0AF45F72" w14:textId="77777777" w:rsidR="00376ECB" w:rsidRDefault="00000000">
            <w:pPr>
              <w:spacing w:after="120" w:line="271" w:lineRule="auto"/>
              <w:jc w:val="both"/>
            </w:pPr>
            <w:r>
              <w:rPr>
                <w:b/>
              </w:rPr>
              <w:t>TOTAL (tCO</w:t>
            </w:r>
            <w:r>
              <w:rPr>
                <w:b/>
                <w:vertAlign w:val="subscript"/>
              </w:rPr>
              <w:t>2</w:t>
            </w:r>
            <w:r>
              <w:rPr>
                <w:b/>
              </w:rPr>
              <w:t>e)</w:t>
            </w:r>
          </w:p>
        </w:tc>
      </w:tr>
      <w:tr w:rsidR="00376ECB" w14:paraId="22114062" w14:textId="77777777">
        <w:trPr>
          <w:trHeight w:val="455"/>
        </w:trPr>
        <w:tc>
          <w:tcPr>
            <w:tcW w:w="2130" w:type="dxa"/>
            <w:tcBorders>
              <w:left w:val="single" w:sz="8" w:space="0" w:color="000000"/>
              <w:bottom w:val="single" w:sz="8" w:space="0" w:color="000000"/>
              <w:right w:val="single" w:sz="8" w:space="0" w:color="000000"/>
            </w:tcBorders>
          </w:tcPr>
          <w:p w14:paraId="4636758D" w14:textId="77777777" w:rsidR="00376ECB" w:rsidRDefault="00000000">
            <w:pPr>
              <w:spacing w:after="120" w:line="271" w:lineRule="auto"/>
              <w:jc w:val="both"/>
              <w:rPr>
                <w:b/>
              </w:rPr>
            </w:pPr>
            <w:r>
              <w:rPr>
                <w:b/>
              </w:rPr>
              <w:t>Scope 1</w:t>
            </w:r>
          </w:p>
        </w:tc>
        <w:tc>
          <w:tcPr>
            <w:tcW w:w="7320" w:type="dxa"/>
            <w:tcBorders>
              <w:bottom w:val="single" w:sz="8" w:space="0" w:color="000000"/>
              <w:right w:val="single" w:sz="20" w:space="0" w:color="000000"/>
            </w:tcBorders>
          </w:tcPr>
          <w:p w14:paraId="32487DDC" w14:textId="77777777" w:rsidR="00376ECB" w:rsidRDefault="00000000">
            <w:pPr>
              <w:spacing w:after="120" w:line="271" w:lineRule="auto"/>
              <w:jc w:val="both"/>
            </w:pPr>
            <w:r>
              <w:t>Pending calculation</w:t>
            </w:r>
          </w:p>
        </w:tc>
      </w:tr>
      <w:tr w:rsidR="00376ECB" w14:paraId="0080389F" w14:textId="77777777">
        <w:trPr>
          <w:trHeight w:val="455"/>
        </w:trPr>
        <w:tc>
          <w:tcPr>
            <w:tcW w:w="2130" w:type="dxa"/>
            <w:tcBorders>
              <w:left w:val="single" w:sz="8" w:space="0" w:color="000000"/>
              <w:bottom w:val="single" w:sz="8" w:space="0" w:color="000000"/>
              <w:right w:val="single" w:sz="8" w:space="0" w:color="000000"/>
            </w:tcBorders>
          </w:tcPr>
          <w:p w14:paraId="0ADFB2D1" w14:textId="77777777" w:rsidR="00376ECB" w:rsidRDefault="00000000">
            <w:pPr>
              <w:spacing w:after="120" w:line="271" w:lineRule="auto"/>
              <w:jc w:val="both"/>
              <w:rPr>
                <w:b/>
              </w:rPr>
            </w:pPr>
            <w:r>
              <w:rPr>
                <w:b/>
              </w:rPr>
              <w:t>Scope 2</w:t>
            </w:r>
          </w:p>
        </w:tc>
        <w:tc>
          <w:tcPr>
            <w:tcW w:w="7320" w:type="dxa"/>
            <w:tcBorders>
              <w:bottom w:val="single" w:sz="8" w:space="0" w:color="000000"/>
              <w:right w:val="single" w:sz="20" w:space="0" w:color="000000"/>
            </w:tcBorders>
          </w:tcPr>
          <w:p w14:paraId="42DBACC7" w14:textId="77777777" w:rsidR="00376ECB" w:rsidRDefault="00000000">
            <w:pPr>
              <w:spacing w:after="120" w:line="271" w:lineRule="auto"/>
              <w:jc w:val="both"/>
            </w:pPr>
            <w:r>
              <w:t>Pending calculation</w:t>
            </w:r>
          </w:p>
        </w:tc>
      </w:tr>
      <w:tr w:rsidR="00376ECB" w14:paraId="79A38C55" w14:textId="77777777">
        <w:trPr>
          <w:trHeight w:val="585"/>
        </w:trPr>
        <w:tc>
          <w:tcPr>
            <w:tcW w:w="2130" w:type="dxa"/>
            <w:tcBorders>
              <w:left w:val="single" w:sz="8" w:space="0" w:color="000000"/>
              <w:bottom w:val="single" w:sz="18" w:space="0" w:color="000000"/>
              <w:right w:val="single" w:sz="8" w:space="0" w:color="000000"/>
            </w:tcBorders>
          </w:tcPr>
          <w:p w14:paraId="5208D592" w14:textId="77777777" w:rsidR="00376ECB" w:rsidRDefault="00000000">
            <w:pPr>
              <w:spacing w:after="120" w:line="271" w:lineRule="auto"/>
              <w:jc w:val="both"/>
            </w:pPr>
            <w:r>
              <w:t>Scope 3</w:t>
            </w:r>
          </w:p>
        </w:tc>
        <w:tc>
          <w:tcPr>
            <w:tcW w:w="7320" w:type="dxa"/>
            <w:tcBorders>
              <w:bottom w:val="single" w:sz="18" w:space="0" w:color="000000"/>
              <w:right w:val="single" w:sz="20" w:space="0" w:color="000000"/>
            </w:tcBorders>
          </w:tcPr>
          <w:p w14:paraId="37F62984" w14:textId="77777777" w:rsidR="00376ECB" w:rsidRDefault="00000000">
            <w:pPr>
              <w:spacing w:after="120" w:line="271" w:lineRule="auto"/>
              <w:jc w:val="both"/>
            </w:pPr>
            <w:r>
              <w:t>Pending calculation</w:t>
            </w:r>
          </w:p>
        </w:tc>
      </w:tr>
      <w:tr w:rsidR="00376ECB" w14:paraId="090DA493" w14:textId="77777777">
        <w:trPr>
          <w:trHeight w:val="585"/>
        </w:trPr>
        <w:tc>
          <w:tcPr>
            <w:tcW w:w="2130" w:type="dxa"/>
            <w:tcBorders>
              <w:top w:val="single" w:sz="18" w:space="0" w:color="000000"/>
              <w:left w:val="single" w:sz="8" w:space="0" w:color="000000"/>
              <w:bottom w:val="single" w:sz="8" w:space="0" w:color="000000"/>
              <w:right w:val="single" w:sz="8" w:space="0" w:color="000000"/>
            </w:tcBorders>
          </w:tcPr>
          <w:p w14:paraId="124BA1DA" w14:textId="77777777" w:rsidR="00376ECB" w:rsidRDefault="00000000">
            <w:pPr>
              <w:spacing w:after="120" w:line="271" w:lineRule="auto"/>
              <w:jc w:val="both"/>
              <w:rPr>
                <w:b/>
              </w:rPr>
            </w:pPr>
            <w:r>
              <w:rPr>
                <w:b/>
              </w:rPr>
              <w:t>Total Emissions</w:t>
            </w:r>
          </w:p>
        </w:tc>
        <w:tc>
          <w:tcPr>
            <w:tcW w:w="7320" w:type="dxa"/>
            <w:tcBorders>
              <w:top w:val="single" w:sz="18" w:space="0" w:color="000000"/>
              <w:bottom w:val="single" w:sz="8" w:space="0" w:color="000000"/>
              <w:right w:val="single" w:sz="20" w:space="0" w:color="000000"/>
            </w:tcBorders>
          </w:tcPr>
          <w:p w14:paraId="7A8CDD2B" w14:textId="77777777" w:rsidR="00376ECB" w:rsidRDefault="00000000">
            <w:pPr>
              <w:spacing w:after="120" w:line="271" w:lineRule="auto"/>
              <w:jc w:val="both"/>
            </w:pPr>
            <w:r>
              <w:t>Pending calculation</w:t>
            </w:r>
          </w:p>
        </w:tc>
      </w:tr>
    </w:tbl>
    <w:p w14:paraId="6B6F48E2" w14:textId="77777777" w:rsidR="00376ECB" w:rsidRDefault="00376ECB">
      <w:pPr>
        <w:rPr>
          <w:b/>
          <w:sz w:val="28"/>
          <w:szCs w:val="28"/>
        </w:rPr>
      </w:pPr>
    </w:p>
    <w:p w14:paraId="274BE9C2" w14:textId="77777777" w:rsidR="00376ECB" w:rsidRDefault="00376ECB">
      <w:pPr>
        <w:rPr>
          <w:b/>
          <w:sz w:val="28"/>
          <w:szCs w:val="28"/>
        </w:rPr>
      </w:pPr>
    </w:p>
    <w:tbl>
      <w:tblPr>
        <w:tblW w:w="9465" w:type="dxa"/>
        <w:tblInd w:w="-7" w:type="dxa"/>
        <w:tblLayout w:type="fixed"/>
        <w:tblCellMar>
          <w:top w:w="100" w:type="dxa"/>
          <w:left w:w="100" w:type="dxa"/>
          <w:bottom w:w="100" w:type="dxa"/>
          <w:right w:w="100" w:type="dxa"/>
        </w:tblCellMar>
        <w:tblLook w:val="0000" w:firstRow="0" w:lastRow="0" w:firstColumn="0" w:lastColumn="0" w:noHBand="0" w:noVBand="0"/>
      </w:tblPr>
      <w:tblGrid>
        <w:gridCol w:w="2100"/>
        <w:gridCol w:w="7365"/>
      </w:tblGrid>
      <w:tr w:rsidR="00376ECB" w14:paraId="4DD9C1A6" w14:textId="77777777">
        <w:trPr>
          <w:trHeight w:val="122"/>
        </w:trPr>
        <w:tc>
          <w:tcPr>
            <w:tcW w:w="9465" w:type="dxa"/>
            <w:gridSpan w:val="2"/>
            <w:tcBorders>
              <w:top w:val="single" w:sz="6" w:space="0" w:color="000000"/>
              <w:left w:val="single" w:sz="6" w:space="0" w:color="000000"/>
              <w:bottom w:val="single" w:sz="6" w:space="0" w:color="000000"/>
              <w:right w:val="single" w:sz="6" w:space="0" w:color="000000"/>
            </w:tcBorders>
          </w:tcPr>
          <w:p w14:paraId="2653816F" w14:textId="77777777" w:rsidR="00376ECB" w:rsidRDefault="00000000">
            <w:pPr>
              <w:pStyle w:val="Heading1"/>
              <w:spacing w:before="360" w:line="247" w:lineRule="auto"/>
            </w:pPr>
            <w:r>
              <w:t>Current Emissions Reporting</w:t>
            </w:r>
          </w:p>
          <w:p w14:paraId="6C993D83" w14:textId="77777777" w:rsidR="00376ECB" w:rsidRDefault="00000000">
            <w:pPr>
              <w:spacing w:after="120" w:line="271" w:lineRule="auto"/>
              <w:jc w:val="both"/>
            </w:pPr>
            <w:r>
              <w:t>Reporting year: 2025/26 first full operating year (exact dates to confirm)</w:t>
            </w:r>
          </w:p>
        </w:tc>
      </w:tr>
      <w:tr w:rsidR="00376ECB" w14:paraId="0715FAB9" w14:textId="77777777">
        <w:trPr>
          <w:trHeight w:val="740"/>
        </w:trPr>
        <w:tc>
          <w:tcPr>
            <w:tcW w:w="2100" w:type="dxa"/>
            <w:tcBorders>
              <w:top w:val="single" w:sz="6" w:space="0" w:color="000000"/>
              <w:left w:val="single" w:sz="6" w:space="0" w:color="000000"/>
              <w:bottom w:val="single" w:sz="6" w:space="0" w:color="000000"/>
              <w:right w:val="single" w:sz="6" w:space="0" w:color="000000"/>
            </w:tcBorders>
          </w:tcPr>
          <w:p w14:paraId="35E6EF46" w14:textId="77777777" w:rsidR="00376ECB" w:rsidRDefault="00000000">
            <w:pPr>
              <w:spacing w:after="120" w:line="271" w:lineRule="auto"/>
              <w:jc w:val="both"/>
              <w:rPr>
                <w:b/>
              </w:rPr>
            </w:pPr>
            <w:r>
              <w:rPr>
                <w:b/>
              </w:rPr>
              <w:t>EMISSIONS</w:t>
            </w:r>
          </w:p>
        </w:tc>
        <w:tc>
          <w:tcPr>
            <w:tcW w:w="7365" w:type="dxa"/>
            <w:tcBorders>
              <w:top w:val="single" w:sz="6" w:space="0" w:color="000000"/>
              <w:left w:val="single" w:sz="6" w:space="0" w:color="000000"/>
              <w:bottom w:val="single" w:sz="6" w:space="0" w:color="000000"/>
              <w:right w:val="single" w:sz="6" w:space="0" w:color="000000"/>
            </w:tcBorders>
          </w:tcPr>
          <w:p w14:paraId="77760E78" w14:textId="77777777" w:rsidR="00376ECB" w:rsidRDefault="00000000">
            <w:pPr>
              <w:spacing w:after="120" w:line="271" w:lineRule="auto"/>
              <w:jc w:val="both"/>
            </w:pPr>
            <w:r>
              <w:rPr>
                <w:b/>
              </w:rPr>
              <w:t>TOTAL (tCO</w:t>
            </w:r>
            <w:r>
              <w:rPr>
                <w:b/>
                <w:vertAlign w:val="subscript"/>
              </w:rPr>
              <w:t>2</w:t>
            </w:r>
            <w:r>
              <w:rPr>
                <w:b/>
              </w:rPr>
              <w:t>e)</w:t>
            </w:r>
          </w:p>
        </w:tc>
      </w:tr>
      <w:tr w:rsidR="00376ECB" w14:paraId="691CE02C" w14:textId="77777777">
        <w:trPr>
          <w:trHeight w:val="455"/>
        </w:trPr>
        <w:tc>
          <w:tcPr>
            <w:tcW w:w="2100" w:type="dxa"/>
            <w:tcBorders>
              <w:top w:val="single" w:sz="6" w:space="0" w:color="000000"/>
              <w:left w:val="single" w:sz="6" w:space="0" w:color="000000"/>
              <w:bottom w:val="single" w:sz="6" w:space="0" w:color="000000"/>
              <w:right w:val="single" w:sz="6" w:space="0" w:color="000000"/>
            </w:tcBorders>
          </w:tcPr>
          <w:p w14:paraId="714038B0" w14:textId="77777777" w:rsidR="00376ECB" w:rsidRDefault="00000000">
            <w:pPr>
              <w:spacing w:after="120" w:line="271" w:lineRule="auto"/>
              <w:jc w:val="both"/>
              <w:rPr>
                <w:b/>
              </w:rPr>
            </w:pPr>
            <w:r>
              <w:rPr>
                <w:b/>
              </w:rPr>
              <w:t>Scope 1</w:t>
            </w:r>
          </w:p>
        </w:tc>
        <w:tc>
          <w:tcPr>
            <w:tcW w:w="7365" w:type="dxa"/>
            <w:tcBorders>
              <w:top w:val="single" w:sz="6" w:space="0" w:color="000000"/>
              <w:left w:val="single" w:sz="6" w:space="0" w:color="000000"/>
              <w:bottom w:val="single" w:sz="6" w:space="0" w:color="000000"/>
              <w:right w:val="single" w:sz="6" w:space="0" w:color="000000"/>
            </w:tcBorders>
          </w:tcPr>
          <w:p w14:paraId="47CB9B98" w14:textId="77777777" w:rsidR="00376ECB" w:rsidRDefault="00000000">
            <w:pPr>
              <w:spacing w:after="120" w:line="271" w:lineRule="auto"/>
              <w:jc w:val="both"/>
            </w:pPr>
            <w:r>
              <w:t>Pending calculation</w:t>
            </w:r>
          </w:p>
        </w:tc>
      </w:tr>
      <w:tr w:rsidR="00376ECB" w14:paraId="547438E8" w14:textId="77777777">
        <w:trPr>
          <w:trHeight w:val="455"/>
        </w:trPr>
        <w:tc>
          <w:tcPr>
            <w:tcW w:w="2100" w:type="dxa"/>
            <w:tcBorders>
              <w:top w:val="single" w:sz="6" w:space="0" w:color="000000"/>
              <w:left w:val="single" w:sz="6" w:space="0" w:color="000000"/>
              <w:bottom w:val="single" w:sz="6" w:space="0" w:color="000000"/>
              <w:right w:val="single" w:sz="6" w:space="0" w:color="000000"/>
            </w:tcBorders>
          </w:tcPr>
          <w:p w14:paraId="13D0DC8B" w14:textId="77777777" w:rsidR="00376ECB" w:rsidRDefault="00000000">
            <w:pPr>
              <w:spacing w:after="120" w:line="271" w:lineRule="auto"/>
              <w:jc w:val="both"/>
              <w:rPr>
                <w:b/>
              </w:rPr>
            </w:pPr>
            <w:r>
              <w:rPr>
                <w:b/>
              </w:rPr>
              <w:t>Scope 2</w:t>
            </w:r>
          </w:p>
        </w:tc>
        <w:tc>
          <w:tcPr>
            <w:tcW w:w="7365" w:type="dxa"/>
            <w:tcBorders>
              <w:top w:val="single" w:sz="6" w:space="0" w:color="000000"/>
              <w:left w:val="single" w:sz="6" w:space="0" w:color="000000"/>
              <w:bottom w:val="single" w:sz="6" w:space="0" w:color="000000"/>
              <w:right w:val="single" w:sz="6" w:space="0" w:color="000000"/>
            </w:tcBorders>
          </w:tcPr>
          <w:p w14:paraId="4EA96AD4" w14:textId="77777777" w:rsidR="00376ECB" w:rsidRDefault="00000000">
            <w:pPr>
              <w:spacing w:after="120" w:line="271" w:lineRule="auto"/>
              <w:jc w:val="both"/>
            </w:pPr>
            <w:r>
              <w:t>Pending calculation</w:t>
            </w:r>
          </w:p>
        </w:tc>
      </w:tr>
      <w:tr w:rsidR="00376ECB" w14:paraId="314E88F7" w14:textId="77777777">
        <w:trPr>
          <w:trHeight w:val="585"/>
        </w:trPr>
        <w:tc>
          <w:tcPr>
            <w:tcW w:w="2100" w:type="dxa"/>
            <w:tcBorders>
              <w:top w:val="single" w:sz="6" w:space="0" w:color="000000"/>
              <w:left w:val="single" w:sz="6" w:space="0" w:color="000000"/>
              <w:bottom w:val="single" w:sz="6" w:space="0" w:color="000000"/>
              <w:right w:val="single" w:sz="6" w:space="0" w:color="000000"/>
            </w:tcBorders>
          </w:tcPr>
          <w:p w14:paraId="09B7F9B8" w14:textId="77777777" w:rsidR="00376ECB" w:rsidRDefault="00000000">
            <w:pPr>
              <w:spacing w:after="120" w:line="271" w:lineRule="auto"/>
              <w:jc w:val="both"/>
            </w:pPr>
            <w:r>
              <w:t>Scope 3</w:t>
            </w:r>
          </w:p>
        </w:tc>
        <w:tc>
          <w:tcPr>
            <w:tcW w:w="7365" w:type="dxa"/>
            <w:tcBorders>
              <w:top w:val="single" w:sz="6" w:space="0" w:color="000000"/>
              <w:left w:val="single" w:sz="6" w:space="0" w:color="000000"/>
              <w:bottom w:val="single" w:sz="6" w:space="0" w:color="000000"/>
              <w:right w:val="single" w:sz="6" w:space="0" w:color="000000"/>
            </w:tcBorders>
          </w:tcPr>
          <w:p w14:paraId="71F3CEB9" w14:textId="77777777" w:rsidR="00376ECB" w:rsidRDefault="00000000">
            <w:pPr>
              <w:spacing w:after="120" w:line="271" w:lineRule="auto"/>
              <w:jc w:val="both"/>
            </w:pPr>
            <w:r>
              <w:t>Pending calculation</w:t>
            </w:r>
          </w:p>
        </w:tc>
      </w:tr>
      <w:tr w:rsidR="00376ECB" w14:paraId="1EEE891B" w14:textId="77777777">
        <w:trPr>
          <w:trHeight w:val="585"/>
        </w:trPr>
        <w:tc>
          <w:tcPr>
            <w:tcW w:w="2100" w:type="dxa"/>
            <w:tcBorders>
              <w:top w:val="single" w:sz="6" w:space="0" w:color="000000"/>
              <w:left w:val="single" w:sz="6" w:space="0" w:color="000000"/>
              <w:bottom w:val="single" w:sz="6" w:space="0" w:color="000000"/>
              <w:right w:val="single" w:sz="6" w:space="0" w:color="000000"/>
            </w:tcBorders>
          </w:tcPr>
          <w:p w14:paraId="2CE94C04" w14:textId="77777777" w:rsidR="00376ECB" w:rsidRDefault="00000000">
            <w:pPr>
              <w:spacing w:after="120" w:line="271" w:lineRule="auto"/>
              <w:jc w:val="both"/>
              <w:rPr>
                <w:b/>
              </w:rPr>
            </w:pPr>
            <w:r>
              <w:rPr>
                <w:b/>
              </w:rPr>
              <w:t>Total Emissions</w:t>
            </w:r>
          </w:p>
        </w:tc>
        <w:tc>
          <w:tcPr>
            <w:tcW w:w="7365" w:type="dxa"/>
            <w:tcBorders>
              <w:top w:val="single" w:sz="6" w:space="0" w:color="000000"/>
              <w:left w:val="single" w:sz="6" w:space="0" w:color="000000"/>
              <w:bottom w:val="single" w:sz="6" w:space="0" w:color="000000"/>
              <w:right w:val="single" w:sz="6" w:space="0" w:color="000000"/>
            </w:tcBorders>
          </w:tcPr>
          <w:p w14:paraId="0D15F898" w14:textId="77777777" w:rsidR="00376ECB" w:rsidRDefault="00000000">
            <w:pPr>
              <w:spacing w:after="120" w:line="271" w:lineRule="auto"/>
              <w:jc w:val="both"/>
            </w:pPr>
            <w:r>
              <w:t>Pending calculation</w:t>
            </w:r>
          </w:p>
        </w:tc>
      </w:tr>
    </w:tbl>
    <w:p w14:paraId="400E98E4" w14:textId="77777777" w:rsidR="00376ECB" w:rsidRDefault="00000000">
      <w:pPr>
        <w:pStyle w:val="Heading1"/>
        <w:keepNext w:val="0"/>
        <w:keepLines w:val="0"/>
        <w:spacing w:before="0" w:line="271" w:lineRule="auto"/>
        <w:jc w:val="both"/>
        <w:rPr>
          <w:b/>
          <w:sz w:val="28"/>
          <w:szCs w:val="28"/>
        </w:rPr>
      </w:pPr>
      <w:bookmarkStart w:id="2" w:name="_heading=h.2et92p0"/>
      <w:bookmarkEnd w:id="2"/>
      <w:r>
        <w:rPr>
          <w:b/>
          <w:sz w:val="28"/>
          <w:szCs w:val="28"/>
        </w:rPr>
        <w:t>Emissions reduction targets</w:t>
      </w:r>
    </w:p>
    <w:p w14:paraId="0B0C32A1" w14:textId="77777777" w:rsidR="00376ECB" w:rsidRDefault="00000000">
      <w:pPr>
        <w:spacing w:after="300" w:line="247" w:lineRule="auto"/>
      </w:pPr>
      <w:r>
        <w:t>Proposed interim target for partner approval: reduce gross UK emissions by 25% by 2031 from the validated baseline, then continue reductions towards Net Zero by 2050.</w:t>
      </w:r>
    </w:p>
    <w:p w14:paraId="6DFF0F1F" w14:textId="77777777" w:rsidR="00376ECB" w:rsidRDefault="00000000">
      <w:pPr>
        <w:spacing w:after="300" w:line="247" w:lineRule="auto"/>
      </w:pPr>
      <w:r>
        <w:t>The proposed five-year pathway is a 25% absolute reduction by 2031 (baseline index 100 to 75). The corresponding tCO2e target must be inserted after the baseline is measured; this target is provisional and has not yet been adopted by the partners.</w:t>
      </w:r>
    </w:p>
    <w:p w14:paraId="6CF400C9" w14:textId="77777777" w:rsidR="00376ECB" w:rsidRDefault="00376ECB">
      <w:pPr>
        <w:pStyle w:val="Heading1"/>
        <w:keepNext w:val="0"/>
        <w:keepLines w:val="0"/>
        <w:spacing w:before="0" w:line="271" w:lineRule="auto"/>
        <w:jc w:val="both"/>
        <w:rPr>
          <w:sz w:val="22"/>
          <w:szCs w:val="22"/>
        </w:rPr>
      </w:pPr>
      <w:bookmarkStart w:id="3" w:name="_heading=h.17dp8vu"/>
      <w:bookmarkEnd w:id="3"/>
    </w:p>
    <w:p w14:paraId="67CF07D8" w14:textId="77777777" w:rsidR="00376ECB" w:rsidRDefault="00376ECB">
      <w:pPr>
        <w:pStyle w:val="Heading1"/>
        <w:keepNext w:val="0"/>
        <w:keepLines w:val="0"/>
        <w:spacing w:before="0" w:line="271" w:lineRule="auto"/>
        <w:jc w:val="both"/>
        <w:rPr>
          <w:sz w:val="22"/>
          <w:szCs w:val="22"/>
        </w:rPr>
      </w:pPr>
      <w:bookmarkStart w:id="4" w:name="_heading=h.3rdcrjn"/>
      <w:bookmarkEnd w:id="4"/>
    </w:p>
    <w:p w14:paraId="0C6CC7CF" w14:textId="77777777" w:rsidR="00376ECB" w:rsidRDefault="00376ECB">
      <w:pPr>
        <w:pStyle w:val="Heading1"/>
        <w:keepNext w:val="0"/>
        <w:keepLines w:val="0"/>
        <w:spacing w:before="0" w:line="271" w:lineRule="auto"/>
        <w:jc w:val="both"/>
        <w:rPr>
          <w:sz w:val="22"/>
          <w:szCs w:val="22"/>
        </w:rPr>
      </w:pPr>
      <w:bookmarkStart w:id="5" w:name="_heading=h.26in1rg"/>
      <w:bookmarkEnd w:id="5"/>
    </w:p>
    <w:p w14:paraId="4439F79D" w14:textId="77777777" w:rsidR="00376ECB" w:rsidRDefault="00376ECB">
      <w:pPr>
        <w:pStyle w:val="Heading1"/>
        <w:keepNext w:val="0"/>
        <w:keepLines w:val="0"/>
        <w:spacing w:before="0" w:line="271" w:lineRule="auto"/>
        <w:jc w:val="both"/>
        <w:rPr>
          <w:sz w:val="22"/>
          <w:szCs w:val="22"/>
        </w:rPr>
      </w:pPr>
      <w:bookmarkStart w:id="6" w:name="_heading=h.lnxbz9"/>
      <w:bookmarkEnd w:id="6"/>
    </w:p>
    <w:p w14:paraId="7EDD0A56" w14:textId="77777777" w:rsidR="00376ECB" w:rsidRDefault="00376ECB">
      <w:pPr>
        <w:pStyle w:val="Heading1"/>
        <w:keepNext w:val="0"/>
        <w:keepLines w:val="0"/>
        <w:spacing w:before="0" w:line="271" w:lineRule="auto"/>
        <w:jc w:val="both"/>
        <w:rPr>
          <w:sz w:val="22"/>
          <w:szCs w:val="22"/>
        </w:rPr>
      </w:pPr>
      <w:bookmarkStart w:id="7" w:name="_heading=h.35nkun2"/>
      <w:bookmarkEnd w:id="7"/>
    </w:p>
    <w:p w14:paraId="00E29050" w14:textId="77777777" w:rsidR="00376ECB" w:rsidRDefault="00376ECB">
      <w:pPr>
        <w:pStyle w:val="Heading1"/>
        <w:keepNext w:val="0"/>
        <w:keepLines w:val="0"/>
        <w:spacing w:before="0" w:line="271" w:lineRule="auto"/>
        <w:jc w:val="both"/>
        <w:rPr>
          <w:sz w:val="22"/>
          <w:szCs w:val="22"/>
        </w:rPr>
      </w:pPr>
      <w:bookmarkStart w:id="8" w:name="_heading=h.1ksv4uv"/>
      <w:bookmarkEnd w:id="8"/>
    </w:p>
    <w:p w14:paraId="0EC70556" w14:textId="77777777" w:rsidR="00376ECB" w:rsidRDefault="00376ECB">
      <w:pPr>
        <w:pStyle w:val="Heading1"/>
        <w:keepNext w:val="0"/>
        <w:keepLines w:val="0"/>
        <w:spacing w:before="0" w:line="271" w:lineRule="auto"/>
        <w:jc w:val="both"/>
        <w:rPr>
          <w:sz w:val="22"/>
          <w:szCs w:val="22"/>
        </w:rPr>
      </w:pPr>
      <w:bookmarkStart w:id="9" w:name="_heading=h.44sinio"/>
      <w:bookmarkEnd w:id="9"/>
    </w:p>
    <w:p w14:paraId="04247788" w14:textId="77777777" w:rsidR="00376ECB" w:rsidRDefault="00376ECB">
      <w:pPr>
        <w:pStyle w:val="Heading1"/>
        <w:keepNext w:val="0"/>
        <w:keepLines w:val="0"/>
        <w:spacing w:before="0" w:line="271" w:lineRule="auto"/>
        <w:jc w:val="both"/>
        <w:rPr>
          <w:sz w:val="22"/>
          <w:szCs w:val="22"/>
        </w:rPr>
      </w:pPr>
      <w:bookmarkStart w:id="10" w:name="_heading=h.2jxsxqh"/>
      <w:bookmarkEnd w:id="10"/>
    </w:p>
    <w:p w14:paraId="060A5FBC" w14:textId="77777777" w:rsidR="00376ECB" w:rsidRDefault="00376ECB">
      <w:pPr>
        <w:pStyle w:val="Heading1"/>
        <w:keepNext w:val="0"/>
        <w:keepLines w:val="0"/>
        <w:spacing w:before="0" w:line="271" w:lineRule="auto"/>
        <w:jc w:val="both"/>
        <w:rPr>
          <w:sz w:val="22"/>
          <w:szCs w:val="22"/>
        </w:rPr>
      </w:pPr>
      <w:bookmarkStart w:id="11" w:name="_heading=h.z337ya"/>
      <w:bookmarkEnd w:id="11"/>
    </w:p>
    <w:p w14:paraId="5707576B" w14:textId="77777777" w:rsidR="00376ECB" w:rsidRDefault="00376ECB">
      <w:pPr>
        <w:pStyle w:val="Heading1"/>
        <w:keepNext w:val="0"/>
        <w:keepLines w:val="0"/>
        <w:spacing w:before="0" w:line="271" w:lineRule="auto"/>
        <w:jc w:val="both"/>
        <w:rPr>
          <w:sz w:val="22"/>
          <w:szCs w:val="22"/>
        </w:rPr>
      </w:pPr>
      <w:bookmarkStart w:id="12" w:name="_heading=h.3j2qqm3"/>
      <w:bookmarkEnd w:id="12"/>
    </w:p>
    <w:p w14:paraId="4FB19B32" w14:textId="77777777" w:rsidR="00376ECB" w:rsidRDefault="00376ECB">
      <w:pPr>
        <w:pStyle w:val="Heading1"/>
        <w:keepNext w:val="0"/>
        <w:keepLines w:val="0"/>
        <w:spacing w:before="0" w:line="271" w:lineRule="auto"/>
        <w:jc w:val="both"/>
        <w:rPr>
          <w:sz w:val="22"/>
          <w:szCs w:val="22"/>
        </w:rPr>
      </w:pPr>
      <w:bookmarkStart w:id="13" w:name="_heading=h.1y810tw"/>
      <w:bookmarkEnd w:id="13"/>
    </w:p>
    <w:p w14:paraId="6B9B9DEF" w14:textId="77777777" w:rsidR="00376ECB" w:rsidRDefault="00376ECB">
      <w:pPr>
        <w:pStyle w:val="Heading1"/>
        <w:keepNext w:val="0"/>
        <w:keepLines w:val="0"/>
        <w:spacing w:before="0" w:line="271" w:lineRule="auto"/>
        <w:jc w:val="both"/>
        <w:rPr>
          <w:sz w:val="22"/>
          <w:szCs w:val="22"/>
        </w:rPr>
      </w:pPr>
      <w:bookmarkStart w:id="14" w:name="_heading=h.4i7ojhp"/>
      <w:bookmarkEnd w:id="14"/>
    </w:p>
    <w:p w14:paraId="4C06D2AF" w14:textId="77777777" w:rsidR="00376ECB" w:rsidRDefault="00376ECB">
      <w:pPr>
        <w:pStyle w:val="Heading1"/>
        <w:keepNext w:val="0"/>
        <w:keepLines w:val="0"/>
        <w:spacing w:before="0" w:line="271" w:lineRule="auto"/>
        <w:jc w:val="both"/>
        <w:rPr>
          <w:sz w:val="22"/>
          <w:szCs w:val="22"/>
        </w:rPr>
      </w:pPr>
      <w:bookmarkStart w:id="15" w:name="_heading=h.2xcytpi"/>
      <w:bookmarkEnd w:id="15"/>
    </w:p>
    <w:p w14:paraId="3CCD5CF7" w14:textId="77777777" w:rsidR="00376ECB" w:rsidRDefault="00376ECB">
      <w:pPr>
        <w:pStyle w:val="Heading1"/>
        <w:keepNext w:val="0"/>
        <w:keepLines w:val="0"/>
        <w:spacing w:before="0" w:line="271" w:lineRule="auto"/>
        <w:jc w:val="both"/>
        <w:rPr>
          <w:sz w:val="22"/>
          <w:szCs w:val="22"/>
        </w:rPr>
      </w:pPr>
      <w:bookmarkStart w:id="16" w:name="_heading=h.1ci93xb"/>
      <w:bookmarkEnd w:id="16"/>
    </w:p>
    <w:p w14:paraId="2D743DF5" w14:textId="77777777" w:rsidR="00376ECB" w:rsidRDefault="00000000">
      <w:pPr>
        <w:pStyle w:val="Heading1"/>
        <w:spacing w:before="360" w:line="247" w:lineRule="auto"/>
        <w:rPr>
          <w:b/>
          <w:sz w:val="28"/>
          <w:szCs w:val="28"/>
        </w:rPr>
      </w:pPr>
      <w:bookmarkStart w:id="17" w:name="_heading=h.qsh70q"/>
      <w:bookmarkEnd w:id="17"/>
      <w:r>
        <w:rPr>
          <w:b/>
          <w:sz w:val="28"/>
          <w:szCs w:val="28"/>
        </w:rPr>
        <w:t>Carbon Reduction Projects</w:t>
      </w:r>
    </w:p>
    <w:p w14:paraId="5F79ABC1" w14:textId="77777777" w:rsidR="00376ECB" w:rsidRDefault="00000000">
      <w:pPr>
        <w:pStyle w:val="Heading3"/>
        <w:spacing w:line="247" w:lineRule="auto"/>
      </w:pPr>
      <w:bookmarkStart w:id="18" w:name="_heading=h.3as4poj"/>
      <w:bookmarkEnd w:id="18"/>
      <w:r>
        <w:t>Completed Carbon Reduction Initiatives</w:t>
      </w:r>
    </w:p>
    <w:p w14:paraId="59BEFD74" w14:textId="77777777" w:rsidR="00376ECB" w:rsidRDefault="00000000">
      <w:pPr>
        <w:spacing w:after="140" w:line="271" w:lineRule="auto"/>
      </w:pPr>
      <w:r>
        <w:t>No completed carbon reduction initiatives or quantified reductions have been verified for this draft. Add measures only after confirming that they are already in force and retain evidence of any claimed reduction.</w:t>
      </w:r>
    </w:p>
    <w:p w14:paraId="0F0E2C07" w14:textId="77777777" w:rsidR="00376ECB" w:rsidRDefault="00000000">
      <w:pPr>
        <w:spacing w:after="140" w:line="271" w:lineRule="auto"/>
      </w:pPr>
      <w:r>
        <w:rPr>
          <w:b/>
        </w:rPr>
        <w:t>Operating profile and boundary (planning assumption):</w:t>
      </w:r>
      <w:r>
        <w:t xml:space="preserve"> This plan uses a 10-20-person professional services team working remotely or at client/office locations. Cenith advises and consults; it does not physically construct, install or operate construction works. The footprint covers Cenith’s people, controlled premises and energy, business travel, commuting, operational waste and relevant purchased services. Construction materials, plant, site fuel and client-project embodied emissions are excluded unless a contract or applicable reporting method requires them.</w:t>
      </w:r>
    </w:p>
    <w:p w14:paraId="2DBBB6B3" w14:textId="77777777" w:rsidR="00376ECB" w:rsidRDefault="00000000">
      <w:pPr>
        <w:spacing w:after="140" w:line="271" w:lineRule="auto"/>
      </w:pPr>
      <w:r>
        <w:rPr>
          <w:b/>
        </w:rPr>
        <w:t>Remote-led delivery:</w:t>
      </w:r>
      <w:r>
        <w:t xml:space="preserve"> Record average headcount and remote-working patterns, controlled-office energy, business travel, commuting, IT/cloud services and operational waste. Do not report household energy as a measured Cenith figure without a stated method and supporting data.</w:t>
      </w:r>
    </w:p>
    <w:p w14:paraId="155CC6AC" w14:textId="77777777" w:rsidR="00376ECB" w:rsidRDefault="00000000">
      <w:pPr>
        <w:spacing w:after="140" w:line="271" w:lineRule="auto"/>
      </w:pPr>
      <w:r>
        <w:rPr>
          <w:b/>
        </w:rPr>
        <w:t>Onsite-heavy delivery:</w:t>
      </w:r>
      <w:r>
        <w:t xml:space="preserve"> Record attendance days, journey distances and modes, accommodation where relevant, and energy for premises Cenith controls. Classify commuting and work trips consistently and avoid double counting. Client-site construction activity is outside Cenith’s footprint.</w:t>
      </w:r>
    </w:p>
    <w:p w14:paraId="233E7F91" w14:textId="77777777" w:rsidR="00376ECB" w:rsidRDefault="00000000">
      <w:pPr>
        <w:spacing w:line="247" w:lineRule="auto"/>
      </w:pPr>
      <w:r>
        <w:t>Proposed measures for adoption and use during professional services delivery:</w:t>
      </w:r>
    </w:p>
    <w:p w14:paraId="2FB0914D" w14:textId="77777777" w:rsidR="00376ECB" w:rsidRDefault="00000000">
      <w:pPr>
        <w:spacing w:after="140" w:line="271" w:lineRule="auto"/>
      </w:pPr>
      <w:r>
        <w:rPr>
          <w:b/>
        </w:rPr>
        <w:t>Travel and service delivery:</w:t>
      </w:r>
      <w:r>
        <w:t xml:space="preserve"> Deliver remotely where suitable and agreed with the client; make onsite attendance purpose-led; combine necessary visits; prioritise rail or public transport for UK journeys where practicable; avoid air travel wherever practicable; and record trips by mode and distance.</w:t>
      </w:r>
    </w:p>
    <w:p w14:paraId="23C31695" w14:textId="77777777" w:rsidR="00376ECB" w:rsidRDefault="00000000">
      <w:pPr>
        <w:spacing w:after="140" w:line="271" w:lineRule="auto"/>
      </w:pPr>
      <w:r>
        <w:rPr>
          <w:b/>
        </w:rPr>
        <w:t>Energy, digital and procurement:</w:t>
      </w:r>
      <w:r>
        <w:t xml:space="preserve"> Minimise printing and energy use; use renewable electricity for premises within Cenith's control where available; select efficient IT, cloud, accommodation and professional-services suppliers; and capture relevant energy, procurement and waste data. No construction materials or plant are purchased for physical works by Cenith.</w:t>
      </w:r>
    </w:p>
    <w:p w14:paraId="0E462348" w14:textId="77777777" w:rsidR="00376ECB" w:rsidRDefault="00000000">
      <w:pPr>
        <w:spacing w:after="140" w:line="271" w:lineRule="auto"/>
      </w:pPr>
      <w:r>
        <w:rPr>
          <w:b/>
        </w:rPr>
        <w:t>Measurement and governance:</w:t>
      </w:r>
      <w:r>
        <w:t xml:space="preserve"> Assign a partner to coordinate an annual emissions inventory and plan review; record average headcount, remote and onsite attendance, controlled-premises energy, business travel, commuting, operational waste and relevant transport data; calculate emissions using current UK Government conversion factors; and report progress annually.</w:t>
      </w:r>
      <w:r>
        <w:br w:type="page"/>
      </w:r>
    </w:p>
    <w:p w14:paraId="33C429C5" w14:textId="77777777" w:rsidR="00376ECB" w:rsidRDefault="00000000">
      <w:pPr>
        <w:outlineLvl w:val="0"/>
      </w:pPr>
      <w:r>
        <w:lastRenderedPageBreak/>
        <w:t>Draft Declaration and Sign Off</w:t>
      </w:r>
    </w:p>
    <w:p w14:paraId="07832F48" w14:textId="77777777" w:rsidR="00376ECB" w:rsidRDefault="00000000">
      <w:pPr>
        <w:spacing w:after="300" w:line="247" w:lineRule="auto"/>
      </w:pPr>
      <w:r>
        <w:t>Draft status: This plan is for partner review only. Scope 1, Scope 2 and the required Scope 3 emissions totals are pending because verified activity data has not been provided. The proposed Net Zero commitment and interim target have not yet been adopted. This draft must not be published or submitted as a completed Carbon Reduction Plan.</w:t>
      </w:r>
    </w:p>
    <w:p w14:paraId="4EB97FEC" w14:textId="77777777" w:rsidR="00376ECB" w:rsidRDefault="00000000">
      <w:pPr>
        <w:spacing w:after="300" w:line="247" w:lineRule="auto"/>
      </w:pPr>
      <w:r>
        <w:t>Before issue, confirm the reporting entity, operational boundary and exact 12-month dates; verify average headcount, remote-working and onsite attendance patterns, and which premises Cenith controls; collect UK Scope 1 and Scope 2 activity data and activity data for all five required Scope 3 categories; calculate emissions in tCO2e using the applicable UK Government conversion factors; and verify the target pathway and measures.</w:t>
      </w:r>
    </w:p>
    <w:p w14:paraId="3D6D655D" w14:textId="77777777" w:rsidR="00376ECB" w:rsidRDefault="00000000">
      <w:pPr>
        <w:spacing w:after="300" w:line="247" w:lineRule="auto"/>
      </w:pPr>
      <w:r>
        <w:t>If a category has no activity, document the evidence and rationale for reporting zero. Missing data must not be treated as zero.</w:t>
      </w:r>
    </w:p>
    <w:p w14:paraId="28D67874" w14:textId="77777777" w:rsidR="00376ECB" w:rsidRDefault="00000000">
      <w:pPr>
        <w:spacing w:after="300" w:line="247" w:lineRule="auto"/>
      </w:pPr>
      <w:r>
        <w:t>Partner approval status: Pending. This draft has not been approved or signed off.</w:t>
      </w:r>
    </w:p>
    <w:p w14:paraId="46D7C18C" w14:textId="77777777" w:rsidR="00376ECB" w:rsidRDefault="00000000">
      <w:pPr>
        <w:pStyle w:val="Heading4"/>
        <w:spacing w:after="300" w:line="247" w:lineRule="auto"/>
      </w:pPr>
      <w:r>
        <w:t>Partner sign-off required before publication:</w:t>
      </w:r>
    </w:p>
    <w:p w14:paraId="5E28F5AB" w14:textId="77777777" w:rsidR="00376ECB" w:rsidRDefault="00376ECB">
      <w:pPr>
        <w:spacing w:after="300" w:line="247" w:lineRule="auto"/>
        <w:rPr>
          <w:color w:val="0B0C0C"/>
        </w:rPr>
      </w:pPr>
    </w:p>
    <w:p w14:paraId="64658AD8" w14:textId="304B2248" w:rsidR="00376ECB" w:rsidRDefault="00000000">
      <w:pPr>
        <w:spacing w:after="300" w:line="247" w:lineRule="auto"/>
      </w:pPr>
      <w:r>
        <w:t>Signature:</w:t>
      </w:r>
      <w:r w:rsidR="00225110">
        <w:t xml:space="preserve"> Gary Dillon </w:t>
      </w:r>
    </w:p>
    <w:p w14:paraId="268C65A0" w14:textId="28C6C49A" w:rsidR="00376ECB" w:rsidRDefault="00000000">
      <w:pPr>
        <w:spacing w:after="300" w:line="247" w:lineRule="auto"/>
      </w:pPr>
      <w:r>
        <w:t xml:space="preserve">Date: </w:t>
      </w:r>
      <w:r w:rsidR="00225110">
        <w:t>09/10/2026</w:t>
      </w:r>
    </w:p>
    <w:p w14:paraId="732366D7" w14:textId="77777777" w:rsidR="00376ECB" w:rsidRDefault="00376ECB">
      <w:pPr>
        <w:rPr>
          <w:shd w:val="clear" w:color="auto" w:fill="FFFF00"/>
        </w:rPr>
      </w:pPr>
      <w:bookmarkStart w:id="19" w:name="_heading=h.147n2zr"/>
      <w:bookmarkEnd w:id="19"/>
    </w:p>
    <w:p w14:paraId="302D3D65" w14:textId="77777777" w:rsidR="00376ECB" w:rsidRDefault="00376ECB"/>
    <w:sectPr w:rsidR="00376ECB">
      <w:headerReference w:type="even" r:id="rId6"/>
      <w:headerReference w:type="default" r:id="rId7"/>
      <w:headerReference w:type="first" r:id="rId8"/>
      <w:pgSz w:w="11906" w:h="16838"/>
      <w:pgMar w:top="1440" w:right="1440" w:bottom="1440" w:left="1440" w:header="720" w:footer="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C4604" w14:textId="77777777" w:rsidR="005153A4" w:rsidRDefault="005153A4">
      <w:pPr>
        <w:spacing w:line="240" w:lineRule="auto"/>
      </w:pPr>
      <w:r>
        <w:separator/>
      </w:r>
    </w:p>
  </w:endnote>
  <w:endnote w:type="continuationSeparator" w:id="0">
    <w:p w14:paraId="488E94EA" w14:textId="77777777" w:rsidR="005153A4" w:rsidRDefault="005153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Linux Libertine G">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71C93" w14:textId="77777777" w:rsidR="005153A4" w:rsidRDefault="005153A4">
      <w:pPr>
        <w:spacing w:line="240" w:lineRule="auto"/>
      </w:pPr>
      <w:r>
        <w:separator/>
      </w:r>
    </w:p>
  </w:footnote>
  <w:footnote w:type="continuationSeparator" w:id="0">
    <w:p w14:paraId="7C6C2D31" w14:textId="77777777" w:rsidR="005153A4" w:rsidRDefault="005153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BA3E8" w14:textId="7AC28AF4" w:rsidR="00225110" w:rsidRDefault="00225110">
    <w:pPr>
      <w:pStyle w:val="Header"/>
    </w:pPr>
    <w:r>
      <w:rPr>
        <w:noProof/>
      </w:rPr>
      <mc:AlternateContent>
        <mc:Choice Requires="wps">
          <w:drawing>
            <wp:anchor distT="0" distB="0" distL="0" distR="0" simplePos="0" relativeHeight="251659264" behindDoc="0" locked="0" layoutInCell="1" allowOverlap="1" wp14:anchorId="1459BE29" wp14:editId="5971C64F">
              <wp:simplePos x="635" y="635"/>
              <wp:positionH relativeFrom="page">
                <wp:align>center</wp:align>
              </wp:positionH>
              <wp:positionV relativeFrom="page">
                <wp:align>top</wp:align>
              </wp:positionV>
              <wp:extent cx="518795" cy="368935"/>
              <wp:effectExtent l="0" t="0" r="14605" b="12065"/>
              <wp:wrapNone/>
              <wp:docPr id="45794255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63E9C38" w14:textId="4AFBE22A" w:rsidR="00225110" w:rsidRPr="00225110" w:rsidRDefault="00225110" w:rsidP="00225110">
                          <w:pPr>
                            <w:rPr>
                              <w:rFonts w:ascii="Aptos" w:eastAsia="Aptos" w:hAnsi="Aptos" w:cs="Aptos"/>
                              <w:noProof/>
                              <w:color w:val="000000"/>
                              <w:sz w:val="20"/>
                              <w:szCs w:val="20"/>
                            </w:rPr>
                          </w:pPr>
                          <w:r w:rsidRPr="0022511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59BE29"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263E9C38" w14:textId="4AFBE22A" w:rsidR="00225110" w:rsidRPr="00225110" w:rsidRDefault="00225110" w:rsidP="00225110">
                    <w:pPr>
                      <w:rPr>
                        <w:rFonts w:ascii="Aptos" w:eastAsia="Aptos" w:hAnsi="Aptos" w:cs="Aptos"/>
                        <w:noProof/>
                        <w:color w:val="000000"/>
                        <w:sz w:val="20"/>
                        <w:szCs w:val="20"/>
                      </w:rPr>
                    </w:pPr>
                    <w:r w:rsidRPr="00225110">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969A8" w14:textId="1093A79E" w:rsidR="00376ECB" w:rsidRDefault="00225110">
    <w:r>
      <w:rPr>
        <w:noProof/>
      </w:rPr>
      <mc:AlternateContent>
        <mc:Choice Requires="wps">
          <w:drawing>
            <wp:anchor distT="0" distB="0" distL="0" distR="0" simplePos="0" relativeHeight="251660288" behindDoc="0" locked="0" layoutInCell="1" allowOverlap="1" wp14:anchorId="0B921EC2" wp14:editId="5203B4A9">
              <wp:simplePos x="914400" y="457200"/>
              <wp:positionH relativeFrom="page">
                <wp:align>center</wp:align>
              </wp:positionH>
              <wp:positionV relativeFrom="page">
                <wp:align>top</wp:align>
              </wp:positionV>
              <wp:extent cx="518795" cy="368935"/>
              <wp:effectExtent l="0" t="0" r="14605" b="12065"/>
              <wp:wrapNone/>
              <wp:docPr id="60133251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20D6A26" w14:textId="47AE016E" w:rsidR="00225110" w:rsidRPr="00225110" w:rsidRDefault="00225110" w:rsidP="00225110">
                          <w:pPr>
                            <w:rPr>
                              <w:rFonts w:ascii="Aptos" w:eastAsia="Aptos" w:hAnsi="Aptos" w:cs="Aptos"/>
                              <w:noProof/>
                              <w:color w:val="000000"/>
                              <w:sz w:val="20"/>
                              <w:szCs w:val="20"/>
                            </w:rPr>
                          </w:pPr>
                          <w:r w:rsidRPr="0022511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921EC2"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320D6A26" w14:textId="47AE016E" w:rsidR="00225110" w:rsidRPr="00225110" w:rsidRDefault="00225110" w:rsidP="00225110">
                    <w:pPr>
                      <w:rPr>
                        <w:rFonts w:ascii="Aptos" w:eastAsia="Aptos" w:hAnsi="Aptos" w:cs="Aptos"/>
                        <w:noProof/>
                        <w:color w:val="000000"/>
                        <w:sz w:val="20"/>
                        <w:szCs w:val="20"/>
                      </w:rPr>
                    </w:pPr>
                    <w:r w:rsidRPr="00225110">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274EE" w14:textId="1F4ADC9E" w:rsidR="00225110" w:rsidRDefault="00225110">
    <w:pPr>
      <w:pStyle w:val="Header"/>
    </w:pPr>
    <w:r>
      <w:rPr>
        <w:noProof/>
      </w:rPr>
      <mc:AlternateContent>
        <mc:Choice Requires="wps">
          <w:drawing>
            <wp:anchor distT="0" distB="0" distL="0" distR="0" simplePos="0" relativeHeight="251658240" behindDoc="0" locked="0" layoutInCell="1" allowOverlap="1" wp14:anchorId="15FE5EC9" wp14:editId="22D98B42">
              <wp:simplePos x="635" y="635"/>
              <wp:positionH relativeFrom="page">
                <wp:align>center</wp:align>
              </wp:positionH>
              <wp:positionV relativeFrom="page">
                <wp:align>top</wp:align>
              </wp:positionV>
              <wp:extent cx="518795" cy="368935"/>
              <wp:effectExtent l="0" t="0" r="14605" b="12065"/>
              <wp:wrapNone/>
              <wp:docPr id="68260754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1129C6F" w14:textId="220842C4" w:rsidR="00225110" w:rsidRPr="00225110" w:rsidRDefault="00225110" w:rsidP="00225110">
                          <w:pPr>
                            <w:rPr>
                              <w:rFonts w:ascii="Aptos" w:eastAsia="Aptos" w:hAnsi="Aptos" w:cs="Aptos"/>
                              <w:noProof/>
                              <w:color w:val="000000"/>
                              <w:sz w:val="20"/>
                              <w:szCs w:val="20"/>
                            </w:rPr>
                          </w:pPr>
                          <w:r w:rsidRPr="00225110">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FE5EC9"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61129C6F" w14:textId="220842C4" w:rsidR="00225110" w:rsidRPr="00225110" w:rsidRDefault="00225110" w:rsidP="00225110">
                    <w:pPr>
                      <w:rPr>
                        <w:rFonts w:ascii="Aptos" w:eastAsia="Aptos" w:hAnsi="Aptos" w:cs="Aptos"/>
                        <w:noProof/>
                        <w:color w:val="000000"/>
                        <w:sz w:val="20"/>
                        <w:szCs w:val="20"/>
                      </w:rPr>
                    </w:pPr>
                    <w:r w:rsidRPr="00225110">
                      <w:rPr>
                        <w:rFonts w:ascii="Aptos" w:eastAsia="Aptos" w:hAnsi="Aptos" w:cs="Aptos"/>
                        <w:noProof/>
                        <w:color w:val="000000"/>
                        <w:sz w:val="20"/>
                        <w:szCs w:val="2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376ECB"/>
    <w:rsid w:val="00225110"/>
    <w:rsid w:val="00376ECB"/>
    <w:rsid w:val="005153A4"/>
    <w:rsid w:val="00537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3001E"/>
  <w15:docId w15:val="{FB01B531-B6FB-41F5-A57B-3F7A479A9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paragraph" w:styleId="Heading1">
    <w:name w:val="heading 1"/>
    <w:basedOn w:val="normal1"/>
    <w:next w:val="Normal"/>
    <w:uiPriority w:val="9"/>
    <w:qFormat/>
    <w:pPr>
      <w:keepNext/>
      <w:keepLines/>
      <w:spacing w:before="400" w:after="120"/>
      <w:outlineLvl w:val="0"/>
    </w:pPr>
    <w:rPr>
      <w:sz w:val="40"/>
      <w:szCs w:val="40"/>
    </w:rPr>
  </w:style>
  <w:style w:type="paragraph" w:styleId="Heading2">
    <w:name w:val="heading 2"/>
    <w:basedOn w:val="normal1"/>
    <w:next w:val="Normal"/>
    <w:uiPriority w:val="9"/>
    <w:unhideWhenUsed/>
    <w:qFormat/>
    <w:pPr>
      <w:keepNext/>
      <w:keepLines/>
      <w:spacing w:before="360" w:after="120"/>
      <w:outlineLvl w:val="1"/>
    </w:pPr>
    <w:rPr>
      <w:sz w:val="32"/>
      <w:szCs w:val="32"/>
    </w:rPr>
  </w:style>
  <w:style w:type="paragraph" w:styleId="Heading3">
    <w:name w:val="heading 3"/>
    <w:basedOn w:val="normal1"/>
    <w:next w:val="Normal"/>
    <w:uiPriority w:val="9"/>
    <w:unhideWhenUsed/>
    <w:qFormat/>
    <w:pPr>
      <w:keepNext/>
      <w:keepLines/>
      <w:spacing w:before="320" w:after="80"/>
      <w:outlineLvl w:val="2"/>
    </w:pPr>
    <w:rPr>
      <w:color w:val="434343"/>
      <w:sz w:val="28"/>
      <w:szCs w:val="28"/>
    </w:rPr>
  </w:style>
  <w:style w:type="paragraph" w:styleId="Heading4">
    <w:name w:val="heading 4"/>
    <w:basedOn w:val="normal1"/>
    <w:next w:val="Normal"/>
    <w:uiPriority w:val="9"/>
    <w:unhideWhenUsed/>
    <w:qFormat/>
    <w:pPr>
      <w:keepNext/>
      <w:keepLines/>
      <w:spacing w:after="120" w:line="271" w:lineRule="auto"/>
      <w:jc w:val="both"/>
      <w:outlineLvl w:val="3"/>
    </w:pPr>
    <w:rPr>
      <w:b/>
      <w:color w:val="00488C"/>
      <w:sz w:val="24"/>
      <w:szCs w:val="24"/>
    </w:rPr>
  </w:style>
  <w:style w:type="paragraph" w:styleId="Heading5">
    <w:name w:val="heading 5"/>
    <w:basedOn w:val="normal1"/>
    <w:next w:val="Normal"/>
    <w:uiPriority w:val="9"/>
    <w:semiHidden/>
    <w:unhideWhenUsed/>
    <w:qFormat/>
    <w:pPr>
      <w:keepNext/>
      <w:keepLines/>
      <w:spacing w:before="240" w:after="80"/>
      <w:outlineLvl w:val="4"/>
    </w:pPr>
    <w:rPr>
      <w:color w:val="666666"/>
    </w:rPr>
  </w:style>
  <w:style w:type="paragraph" w:styleId="Heading6">
    <w:name w:val="heading 6"/>
    <w:basedOn w:val="normal1"/>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TextChar">
    <w:name w:val="Comment Text Char"/>
    <w:basedOn w:val="DefaultParagraphFont"/>
    <w:qFormat/>
    <w:rPr>
      <w:sz w:val="20"/>
      <w:szCs w:val="20"/>
    </w:rPr>
  </w:style>
  <w:style w:type="character" w:styleId="CommentReference">
    <w:name w:val="annotation reference"/>
    <w:basedOn w:val="DefaultParagraphFont"/>
    <w:qFormat/>
    <w:rPr>
      <w:sz w:val="16"/>
      <w:szCs w:val="16"/>
    </w:rPr>
  </w:style>
  <w:style w:type="character" w:customStyle="1" w:styleId="BalloonTextChar">
    <w:name w:val="Balloon Text Char"/>
    <w:basedOn w:val="DefaultParagraphFont"/>
    <w:qFormat/>
    <w:rPr>
      <w:rFonts w:ascii="Times New Roman" w:hAnsi="Times New Roman" w:cs="Times New Roman"/>
      <w:sz w:val="18"/>
      <w:szCs w:val="18"/>
    </w:rPr>
  </w:style>
  <w:style w:type="character" w:styleId="Hyperlink">
    <w:name w:val="Hyperlink"/>
    <w:basedOn w:val="DefaultParagraphFont"/>
    <w:rPr>
      <w:color w:val="0000FF"/>
      <w:u w:val="single"/>
    </w:rPr>
  </w:style>
  <w:style w:type="character" w:customStyle="1" w:styleId="FootnoteTextChar">
    <w:name w:val="Footnote Text Char"/>
    <w:basedOn w:val="DefaultParagraphFont"/>
    <w:qFormat/>
    <w:rPr>
      <w:sz w:val="20"/>
      <w:szCs w:val="20"/>
    </w:rPr>
  </w:style>
  <w:style w:type="character" w:customStyle="1"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UnresolvedMention">
    <w:name w:val="Unresolved Mention"/>
    <w:basedOn w:val="DefaultParagraphFont"/>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Linux Libertine G" w:hAnsi="Liberation Sans" w:cs="Linux Libertine G"/>
      <w:sz w:val="28"/>
      <w:szCs w:val="28"/>
    </w:rPr>
  </w:style>
  <w:style w:type="paragraph" w:styleId="BodyText">
    <w:name w:val="Body Text"/>
    <w:basedOn w:val="Normal"/>
    <w:pPr>
      <w:spacing w:after="140"/>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normal1">
    <w:name w:val="normal1"/>
    <w:qFormat/>
  </w:style>
  <w:style w:type="paragraph" w:styleId="Title">
    <w:name w:val="Title"/>
    <w:basedOn w:val="normal1"/>
    <w:next w:val="Normal"/>
    <w:uiPriority w:val="10"/>
    <w:qFormat/>
    <w:pPr>
      <w:keepNext/>
      <w:keepLines/>
      <w:spacing w:after="60"/>
    </w:pPr>
    <w:rPr>
      <w:sz w:val="52"/>
      <w:szCs w:val="52"/>
    </w:rPr>
  </w:style>
  <w:style w:type="paragraph" w:styleId="Subtitle">
    <w:name w:val="Subtitle"/>
    <w:basedOn w:val="normal1"/>
    <w:next w:val="Normal"/>
    <w:uiPriority w:val="11"/>
    <w:qFormat/>
    <w:pPr>
      <w:keepNext/>
      <w:keepLines/>
      <w:spacing w:after="320"/>
    </w:pPr>
    <w:rPr>
      <w:color w:val="666666"/>
      <w:sz w:val="30"/>
      <w:szCs w:val="30"/>
    </w:rPr>
  </w:style>
  <w:style w:type="paragraph" w:styleId="CommentText">
    <w:name w:val="annotation text"/>
    <w:basedOn w:val="normal1"/>
    <w:qFormat/>
    <w:rPr>
      <w:sz w:val="20"/>
      <w:szCs w:val="20"/>
    </w:rPr>
  </w:style>
  <w:style w:type="paragraph" w:styleId="BalloonText">
    <w:name w:val="Balloon Text"/>
    <w:basedOn w:val="normal1"/>
    <w:qFormat/>
    <w:rPr>
      <w:rFonts w:ascii="Times New Roman" w:hAnsi="Times New Roman" w:cs="Times New Roman"/>
      <w:sz w:val="18"/>
      <w:szCs w:val="18"/>
    </w:rPr>
  </w:style>
  <w:style w:type="paragraph" w:styleId="FootnoteText">
    <w:name w:val="footnote text"/>
    <w:basedOn w:val="normal1"/>
    <w:rPr>
      <w:sz w:val="20"/>
      <w:szCs w:val="20"/>
    </w:rPr>
  </w:style>
  <w:style w:type="paragraph" w:styleId="NormalWeb">
    <w:name w:val="Normal (Web)"/>
    <w:basedOn w:val="normal1"/>
    <w:qFormat/>
    <w:pPr>
      <w:spacing w:before="280" w:after="280"/>
    </w:pPr>
    <w:rPr>
      <w:rFonts w:ascii="Times New Roman" w:eastAsia="Times New Roman" w:hAnsi="Times New Roman" w:cs="Times New Roman"/>
      <w:sz w:val="24"/>
      <w:szCs w:val="24"/>
      <w:lang w:eastAsia="en-GB"/>
    </w:rPr>
  </w:style>
  <w:style w:type="paragraph" w:customStyle="1" w:styleId="FrameContents">
    <w:name w:val="Frame Contents"/>
    <w:basedOn w:val="Normal"/>
    <w:qFormat/>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customStyle="1" w:styleId="TableContents">
    <w:name w:val="Table Contents"/>
    <w:basedOn w:val="Normal"/>
    <w:qFormat/>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901</Words>
  <Characters>5139</Characters>
  <Application>Microsoft Office Word</Application>
  <DocSecurity>0</DocSecurity>
  <Lines>42</Lines>
  <Paragraphs>12</Paragraphs>
  <ScaleCrop>false</ScaleCrop>
  <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Gary Dillon</cp:lastModifiedBy>
  <cp:revision>1</cp:revision>
  <dcterms:created xsi:type="dcterms:W3CDTF">2022-01-31T10:19:00Z</dcterms:created>
  <dcterms:modified xsi:type="dcterms:W3CDTF">2026-10-09T13:30:00Z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28afc3bd,1b4ba61f,23d79b25</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8577031b-11bc-4db9-b655-7d79027ad570_Enabled">
    <vt:lpwstr>true</vt:lpwstr>
  </property>
  <property fmtid="{D5CDD505-2E9C-101B-9397-08002B2CF9AE}" pid="6" name="MSIP_Label_8577031b-11bc-4db9-b655-7d79027ad570_SetDate">
    <vt:lpwstr>2026-10-09T13:30:51Z</vt:lpwstr>
  </property>
  <property fmtid="{D5CDD505-2E9C-101B-9397-08002B2CF9AE}" pid="7" name="MSIP_Label_8577031b-11bc-4db9-b655-7d79027ad570_Method">
    <vt:lpwstr>Standard</vt:lpwstr>
  </property>
  <property fmtid="{D5CDD505-2E9C-101B-9397-08002B2CF9AE}" pid="8" name="MSIP_Label_8577031b-11bc-4db9-b655-7d79027ad570_Name">
    <vt:lpwstr>8577031b-11bc-4db9-b655-7d79027ad570</vt:lpwstr>
  </property>
  <property fmtid="{D5CDD505-2E9C-101B-9397-08002B2CF9AE}" pid="9" name="MSIP_Label_8577031b-11bc-4db9-b655-7d79027ad570_SiteId">
    <vt:lpwstr>c22cc3e1-5d7f-4f4d-be03-d5a158cc9409</vt:lpwstr>
  </property>
  <property fmtid="{D5CDD505-2E9C-101B-9397-08002B2CF9AE}" pid="10" name="MSIP_Label_8577031b-11bc-4db9-b655-7d79027ad570_ActionId">
    <vt:lpwstr>00c73d5e-a64b-4e51-97f1-286f1caf8b22</vt:lpwstr>
  </property>
  <property fmtid="{D5CDD505-2E9C-101B-9397-08002B2CF9AE}" pid="11" name="MSIP_Label_8577031b-11bc-4db9-b655-7d79027ad570_ContentBits">
    <vt:lpwstr>1</vt:lpwstr>
  </property>
  <property fmtid="{D5CDD505-2E9C-101B-9397-08002B2CF9AE}" pid="12" name="MSIP_Label_8577031b-11bc-4db9-b655-7d79027ad570_Tag">
    <vt:lpwstr>10, 3, 0, 1</vt:lpwstr>
  </property>
</Properties>
</file>